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2E844" w14:textId="77777777" w:rsidR="00AE70F9" w:rsidRDefault="00DB35FB">
      <w:pPr>
        <w:pStyle w:val="ListParagraph"/>
        <w:numPr>
          <w:ilvl w:val="0"/>
          <w:numId w:val="1"/>
        </w:numPr>
        <w:tabs>
          <w:tab w:val="left" w:pos="429"/>
        </w:tabs>
        <w:spacing w:before="82"/>
        <w:ind w:hanging="283"/>
      </w:pPr>
      <w:r>
        <w:t>Personal Information Protection and Electronic Documents</w:t>
      </w:r>
      <w:r>
        <w:rPr>
          <w:spacing w:val="-10"/>
        </w:rPr>
        <w:t xml:space="preserve"> </w:t>
      </w:r>
      <w:r>
        <w:t>Act</w:t>
      </w:r>
    </w:p>
    <w:p w14:paraId="0552E845" w14:textId="326E965D" w:rsidR="00AE70F9" w:rsidRDefault="00DB35FB">
      <w:pPr>
        <w:pStyle w:val="ListParagraph"/>
        <w:numPr>
          <w:ilvl w:val="0"/>
          <w:numId w:val="1"/>
        </w:numPr>
        <w:tabs>
          <w:tab w:val="left" w:pos="429"/>
        </w:tabs>
        <w:spacing w:before="80"/>
        <w:ind w:hanging="283"/>
      </w:pPr>
      <w:r>
        <w:t>United States Code of Federal Regulations: 45 CFR</w:t>
      </w:r>
      <w:r>
        <w:rPr>
          <w:spacing w:val="-24"/>
        </w:rPr>
        <w:t xml:space="preserve"> </w:t>
      </w:r>
      <w:r>
        <w:t>46</w:t>
      </w:r>
    </w:p>
    <w:p w14:paraId="0552E847" w14:textId="77777777" w:rsidR="00AE70F9" w:rsidRDefault="00DB35FB">
      <w:pPr>
        <w:pStyle w:val="ListParagraph"/>
        <w:numPr>
          <w:ilvl w:val="0"/>
          <w:numId w:val="1"/>
        </w:numPr>
        <w:tabs>
          <w:tab w:val="left" w:pos="429"/>
        </w:tabs>
        <w:spacing w:line="242" w:lineRule="auto"/>
        <w:ind w:right="426" w:hanging="283"/>
      </w:pPr>
      <w:r>
        <w:t>Canadian Institutes of Health Research, Natural Sciences and Engineering Research Council of Canada, and Social Sciences and Humanities Research Council of Canada, Tri-Council Policy Statement: Ethical Conduct for Research Involving Humans, TCPS2</w:t>
      </w:r>
      <w:r>
        <w:rPr>
          <w:spacing w:val="-9"/>
        </w:rPr>
        <w:t xml:space="preserve"> </w:t>
      </w:r>
      <w:r>
        <w:t>2018</w:t>
      </w:r>
    </w:p>
    <w:p w14:paraId="0552E848" w14:textId="77777777" w:rsidR="00AE70F9" w:rsidRDefault="00DB35FB">
      <w:pPr>
        <w:pStyle w:val="ListParagraph"/>
        <w:numPr>
          <w:ilvl w:val="0"/>
          <w:numId w:val="1"/>
        </w:numPr>
        <w:tabs>
          <w:tab w:val="left" w:pos="429"/>
        </w:tabs>
        <w:spacing w:line="242" w:lineRule="auto"/>
        <w:ind w:right="725" w:hanging="283"/>
      </w:pPr>
      <w:r>
        <w:t>World Medical Association (WMA). Declaration of Helsinki – Ethical Principles for Medical Research Involving Human</w:t>
      </w:r>
      <w:r>
        <w:rPr>
          <w:spacing w:val="-6"/>
        </w:rPr>
        <w:t xml:space="preserve"> </w:t>
      </w:r>
      <w:r>
        <w:t>Subjects</w:t>
      </w:r>
    </w:p>
    <w:p w14:paraId="0552E84A" w14:textId="77777777" w:rsidR="00AE70F9" w:rsidRDefault="00DB35FB">
      <w:pPr>
        <w:pStyle w:val="ListParagraph"/>
        <w:numPr>
          <w:ilvl w:val="0"/>
          <w:numId w:val="1"/>
        </w:numPr>
        <w:tabs>
          <w:tab w:val="left" w:pos="429"/>
        </w:tabs>
        <w:spacing w:before="75" w:line="242" w:lineRule="auto"/>
        <w:ind w:right="764" w:hanging="283"/>
      </w:pPr>
      <w:r>
        <w:t>Canadian Association of Research Ethics Boards. Guidance on Reporting of Unanticipated Problems Including Adverse Events to Research Ethics Boards in Canada (July</w:t>
      </w:r>
      <w:r>
        <w:rPr>
          <w:spacing w:val="-21"/>
        </w:rPr>
        <w:t xml:space="preserve"> </w:t>
      </w:r>
      <w:r>
        <w:t>2010)</w:t>
      </w:r>
    </w:p>
    <w:p w14:paraId="0552E84B" w14:textId="77777777" w:rsidR="00AE70F9" w:rsidRDefault="00DB35FB">
      <w:pPr>
        <w:pStyle w:val="BodyText"/>
        <w:spacing w:before="77"/>
        <w:ind w:right="512"/>
        <w:jc w:val="both"/>
      </w:pPr>
      <w:r>
        <w:t>12.U.S. Department of Health and Human Services, Office for Human Research Protections, and FDA Institutional Review Board Written Procedures Guidance for Institutions and IRBs (May 2018)</w:t>
      </w:r>
    </w:p>
    <w:p w14:paraId="0552E84C" w14:textId="77777777" w:rsidR="00AE70F9" w:rsidRDefault="00DB35FB">
      <w:pPr>
        <w:pStyle w:val="BodyText"/>
        <w:spacing w:before="80" w:line="242" w:lineRule="auto"/>
        <w:ind w:right="887"/>
      </w:pPr>
      <w:r>
        <w:t>13.U.S. Department of Health and Human Services, Office for Human Research Protections. Guidance on Reporting Incidents to OHRP (May 2011).</w:t>
      </w:r>
    </w:p>
    <w:p w14:paraId="0552E84D" w14:textId="77777777" w:rsidR="00AE70F9" w:rsidRDefault="00DB35FB">
      <w:pPr>
        <w:pStyle w:val="BodyText"/>
        <w:spacing w:before="74" w:line="242" w:lineRule="auto"/>
        <w:ind w:right="510"/>
      </w:pPr>
      <w:r>
        <w:t>14.U.S. Department of Health and Human Services, Office for Human Research Protections. Guidance on Reviewing and Reporting Unanticipated Problems Involving Risks to Subjects or Others and Adverse Events (January 2007)</w:t>
      </w:r>
    </w:p>
    <w:p w14:paraId="0552E84E" w14:textId="77777777" w:rsidR="00AE70F9" w:rsidRDefault="00DB35FB">
      <w:pPr>
        <w:pStyle w:val="BodyText"/>
        <w:spacing w:line="242" w:lineRule="auto"/>
        <w:ind w:right="887"/>
      </w:pPr>
      <w:r>
        <w:t>15.U.S. Department of Health and Human Services, Office for Human Research Protections. Guidance on IRB Continuing Review of Research (November 2010)</w:t>
      </w:r>
    </w:p>
    <w:p w14:paraId="0552E84F" w14:textId="77777777" w:rsidR="00AE70F9" w:rsidRDefault="00DB35FB">
      <w:pPr>
        <w:pStyle w:val="BodyText"/>
        <w:spacing w:before="74" w:line="242" w:lineRule="auto"/>
        <w:ind w:right="887"/>
      </w:pPr>
      <w:r>
        <w:t>16.U.S. Department of Health and Human Services, Office for Human Research Protections. Guidance on the Use of Expedited Review Procedures (August 2003)</w:t>
      </w:r>
    </w:p>
    <w:p w14:paraId="0552E850" w14:textId="77777777" w:rsidR="00AE70F9" w:rsidRDefault="00DB35FB">
      <w:pPr>
        <w:pStyle w:val="BodyText"/>
        <w:spacing w:before="75" w:line="242" w:lineRule="auto"/>
        <w:ind w:right="695"/>
      </w:pPr>
      <w:r>
        <w:t>17.U.S. Department of Health and Human Services, Office for Protection from Research Risks. Memorandum re: IRB Meetings Convened via Telephone Conference Call (March 2000)</w:t>
      </w:r>
    </w:p>
    <w:p w14:paraId="0552E851" w14:textId="77777777" w:rsidR="00AE70F9" w:rsidRDefault="00DB35FB">
      <w:pPr>
        <w:pStyle w:val="BodyText"/>
        <w:spacing w:before="75"/>
        <w:ind w:right="200"/>
      </w:pPr>
      <w:r>
        <w:t>18.U.S. Department of Health and Human Services, Office for Protection from Research Risks and Food and Drug Administration. Protection of Human Subjects: Categories of Research That May Be Reviewed by the Institutional Review Board (IRB) Through an Expedited Review Procedure. Federal Registrar: November 9, 1998 (Volume 63, Number 216)</w:t>
      </w:r>
    </w:p>
    <w:p w14:paraId="0552E854" w14:textId="77777777" w:rsidR="00AE70F9" w:rsidRDefault="00DB35FB" w:rsidP="001A5A7D">
      <w:pPr>
        <w:pStyle w:val="BodyText"/>
        <w:spacing w:before="56" w:line="242" w:lineRule="auto"/>
        <w:ind w:left="144" w:right="473" w:firstLine="0"/>
      </w:pPr>
      <w:r>
        <w:t>19.U.S. Department of Health and Human Services, Food and Drug Administration. A Guide to Informed Consent – Information Sheet; Guidance for Institutional Review Boards and Clinical Investigators</w:t>
      </w:r>
    </w:p>
    <w:p w14:paraId="0552E856" w14:textId="77777777" w:rsidR="00AE70F9" w:rsidRDefault="00DB35FB">
      <w:pPr>
        <w:pStyle w:val="BodyText"/>
        <w:spacing w:before="74" w:line="242" w:lineRule="auto"/>
        <w:ind w:right="200"/>
      </w:pPr>
      <w:r>
        <w:t>21.U.S. Department of Health and Human Services, Food and Drug Administration. Sponsor- Investigator-IRB Interrelationship – Information Sheet; Guidance for Institutional Review Boards and Clinical Investigators</w:t>
      </w:r>
    </w:p>
    <w:p w14:paraId="0552E858" w14:textId="77777777" w:rsidR="00AE70F9" w:rsidRDefault="00DB35FB">
      <w:pPr>
        <w:pStyle w:val="BodyText"/>
        <w:spacing w:line="242" w:lineRule="auto"/>
        <w:ind w:right="466"/>
      </w:pPr>
      <w:r>
        <w:t>23.U.S. Department of Health and Human Services, Food and Drug Administration. Guidance for Institutional Review Boards, Clinical Investigators, and Sponsors; Exception from Informed Consent Requirements for Emergency Research (April 2013)</w:t>
      </w:r>
    </w:p>
    <w:p w14:paraId="0552E859" w14:textId="77777777" w:rsidR="00AE70F9" w:rsidRDefault="00DB35FB">
      <w:pPr>
        <w:pStyle w:val="BodyText"/>
        <w:spacing w:line="242" w:lineRule="auto"/>
        <w:ind w:right="466"/>
      </w:pPr>
      <w:r>
        <w:t>24.U.S. Department of Health and Human Services, Food and Drug Administration. Guidance for Industry; Investigator Responsibilities – Protecting the Rights, Safety, and Welfare of Study Subjects (October 2009)</w:t>
      </w:r>
    </w:p>
    <w:p w14:paraId="0552E85A" w14:textId="77777777" w:rsidR="00AE70F9" w:rsidRDefault="00DB35FB">
      <w:pPr>
        <w:pStyle w:val="BodyText"/>
        <w:spacing w:line="242" w:lineRule="auto"/>
        <w:ind w:right="323"/>
      </w:pPr>
      <w:r>
        <w:t xml:space="preserve">25.U.S. Department of Health and Human Services, Food and Drug Administration. Guidance for Clinical Investigators, Sponsors, and IRBs; Adverse Event Reporting to IRBs – Improving Human </w:t>
      </w:r>
      <w:r>
        <w:lastRenderedPageBreak/>
        <w:t>Subject Protection (January 2009)</w:t>
      </w:r>
    </w:p>
    <w:p w14:paraId="0552E85D" w14:textId="77777777" w:rsidR="00AE70F9" w:rsidRDefault="00DB35FB">
      <w:pPr>
        <w:pStyle w:val="BodyText"/>
        <w:spacing w:line="242" w:lineRule="auto"/>
        <w:ind w:right="257"/>
      </w:pPr>
      <w:r>
        <w:t>28.U.S. Department of Health and Human Services, Food and Drug Administration. Institutional Review Boards Frequently Asked Questions – Information Sheet; Information Sheet – Guidance for Institutional Review Boards and Clinical Investigators</w:t>
      </w:r>
    </w:p>
    <w:p w14:paraId="0552E85E" w14:textId="77777777" w:rsidR="00AE70F9" w:rsidRDefault="00DB35FB">
      <w:pPr>
        <w:pStyle w:val="BodyText"/>
        <w:spacing w:before="71" w:line="242" w:lineRule="auto"/>
        <w:ind w:right="510"/>
      </w:pPr>
      <w:r>
        <w:t>29.U.S. Department of Health and Human Services. Financial Relationships and Interests in Research Involving Human Subjects: Guidance for Human Subjects Protection (May 2004)</w:t>
      </w:r>
    </w:p>
    <w:p w14:paraId="0552E85F" w14:textId="77777777" w:rsidR="00AE70F9" w:rsidRDefault="00DB35FB">
      <w:pPr>
        <w:pStyle w:val="BodyText"/>
        <w:spacing w:before="75" w:line="242" w:lineRule="auto"/>
        <w:ind w:right="200"/>
      </w:pPr>
      <w:r>
        <w:t>30.U.S. Department of Health and Human Services, National Institutes of Health. NIH Policy and Guidelines on The Inclusion of Women and Minorities as Subjects in Clinical Research (November 2017)</w:t>
      </w:r>
    </w:p>
    <w:p w14:paraId="0552E860" w14:textId="77777777" w:rsidR="00AE70F9" w:rsidRDefault="00DB35FB">
      <w:pPr>
        <w:pStyle w:val="BodyText"/>
        <w:spacing w:line="242" w:lineRule="auto"/>
        <w:ind w:right="200"/>
      </w:pPr>
      <w:r>
        <w:t>31.U.S. Department of Health and Human Services, National Institutes of Health. Guidance on NIH Office of Extramural Research (OER) on-line tutorial Protecting Human Research Participants (PHRP) (February 2008)</w:t>
      </w:r>
    </w:p>
    <w:p w14:paraId="0552E863" w14:textId="77777777" w:rsidR="00AE70F9" w:rsidRDefault="00DB35FB">
      <w:pPr>
        <w:pStyle w:val="BodyText"/>
        <w:spacing w:before="56" w:line="242" w:lineRule="auto"/>
        <w:ind w:right="240"/>
      </w:pPr>
      <w:r>
        <w:t>32.U.S. Department of Health and Human Services, National Institutes of Health. Frequently Asked Questions; Human Subjects Research – Requirement for Education</w:t>
      </w:r>
    </w:p>
    <w:p w14:paraId="0552E864" w14:textId="77777777" w:rsidR="00AE70F9" w:rsidRDefault="00DB35FB">
      <w:pPr>
        <w:pStyle w:val="BodyText"/>
        <w:spacing w:before="74" w:line="242" w:lineRule="auto"/>
        <w:ind w:right="156"/>
      </w:pPr>
      <w:r>
        <w:t>33.Canadian Institutes for Health Research. Best Practices for Protecting Privacy in Health Research (September 2005)</w:t>
      </w:r>
    </w:p>
    <w:sectPr w:rsidR="00AE70F9">
      <w:headerReference w:type="default" r:id="rId7"/>
      <w:footerReference w:type="default" r:id="rId8"/>
      <w:pgSz w:w="12240" w:h="15840"/>
      <w:pgMar w:top="2080" w:right="1320" w:bottom="1300" w:left="1720" w:header="708" w:footer="11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2E86B" w14:textId="77777777" w:rsidR="00522EDE" w:rsidRDefault="00DB35FB">
      <w:r>
        <w:separator/>
      </w:r>
    </w:p>
  </w:endnote>
  <w:endnote w:type="continuationSeparator" w:id="0">
    <w:p w14:paraId="0552E86D" w14:textId="77777777" w:rsidR="00522EDE" w:rsidRDefault="00DB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2E866" w14:textId="65144226" w:rsidR="00AE70F9" w:rsidRPr="00DB35FB" w:rsidRDefault="00FE55A9">
    <w:pPr>
      <w:pStyle w:val="BodyText"/>
      <w:spacing w:before="0" w:line="14" w:lineRule="auto"/>
      <w:ind w:left="0" w:firstLine="0"/>
      <w:rPr>
        <w:rFonts w:ascii="Arial" w:hAnsi="Arial" w:cs="Arial"/>
        <w:sz w:val="24"/>
      </w:rPr>
    </w:pPr>
    <w:r>
      <w:rPr>
        <w:rFonts w:ascii="Arial" w:hAnsi="Arial" w:cs="Arial"/>
        <w:noProof/>
        <w:sz w:val="24"/>
      </w:rPr>
      <mc:AlternateContent>
        <mc:Choice Requires="wps">
          <w:drawing>
            <wp:anchor distT="0" distB="0" distL="114300" distR="114300" simplePos="0" relativeHeight="503313344" behindDoc="1" locked="0" layoutInCell="1" allowOverlap="1" wp14:anchorId="0552E86E" wp14:editId="3693F469">
              <wp:simplePos x="0" y="0"/>
              <wp:positionH relativeFrom="page">
                <wp:posOffset>901700</wp:posOffset>
              </wp:positionH>
              <wp:positionV relativeFrom="page">
                <wp:posOffset>9319895</wp:posOffset>
              </wp:positionV>
              <wp:extent cx="783590" cy="243205"/>
              <wp:effectExtent l="0" t="4445" r="63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3590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52E872" w14:textId="77777777" w:rsidR="00AE70F9" w:rsidRPr="00DB35FB" w:rsidRDefault="00DB35FB">
                          <w:pPr>
                            <w:spacing w:before="15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 w:rsidRPr="00DB35FB">
                            <w:rPr>
                              <w:rFonts w:ascii="Arial"/>
                              <w:sz w:val="18"/>
                            </w:rPr>
                            <w:t>References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52E86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1pt;margin-top:733.85pt;width:61.7pt;height:19.15pt;z-index:-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" filled="f" stroked="f">
              <v:textbox inset="0,0,0,0">
                <w:txbxContent>
                  <w:p w14:paraId="0552E872" w14:textId="77777777" w:rsidR="00AE70F9" w:rsidRPr="00DB35FB" w:rsidRDefault="00DB35FB">
                    <w:pPr>
                      <w:spacing w:before="15"/>
                      <w:ind w:left="20"/>
                      <w:rPr>
                        <w:rFonts w:ascii="Arial"/>
                        <w:sz w:val="18"/>
                      </w:rPr>
                    </w:pPr>
                    <w:r w:rsidRPr="00DB35FB">
                      <w:rPr>
                        <w:rFonts w:ascii="Arial"/>
                        <w:sz w:val="18"/>
                      </w:rPr>
                      <w:t>References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noProof/>
        <w:sz w:val="24"/>
      </w:rPr>
      <mc:AlternateContent>
        <mc:Choice Requires="wps">
          <w:drawing>
            <wp:anchor distT="0" distB="0" distL="114300" distR="114300" simplePos="0" relativeHeight="503313368" behindDoc="1" locked="0" layoutInCell="1" allowOverlap="1" wp14:anchorId="0552E86F" wp14:editId="0E9C7860">
              <wp:simplePos x="0" y="0"/>
              <wp:positionH relativeFrom="page">
                <wp:posOffset>6297295</wp:posOffset>
              </wp:positionH>
              <wp:positionV relativeFrom="page">
                <wp:posOffset>9298940</wp:posOffset>
              </wp:positionV>
              <wp:extent cx="632460" cy="139700"/>
              <wp:effectExtent l="1270" t="2540" r="4445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52E873" w14:textId="553DB42A" w:rsidR="00AE70F9" w:rsidRPr="00DB35FB" w:rsidRDefault="00DB35FB">
                          <w:pPr>
                            <w:spacing w:before="15"/>
                            <w:ind w:left="20"/>
                            <w:rPr>
                              <w:rFonts w:ascii="Arial" w:hAnsi="Arial" w:cs="Arial"/>
                            </w:rPr>
                          </w:pPr>
                          <w:r w:rsidRPr="00DB35FB">
                            <w:rPr>
                              <w:rFonts w:ascii="Arial" w:hAnsi="Arial" w:cs="Arial"/>
                              <w:sz w:val="18"/>
                            </w:rPr>
                            <w:t xml:space="preserve">Page </w:t>
                          </w:r>
                          <w:r w:rsidRPr="00DB35FB">
                            <w:rPr>
                              <w:rFonts w:ascii="Arial" w:hAnsi="Arial" w:cs="Arial"/>
                              <w:sz w:val="18"/>
                            </w:rPr>
                            <w:fldChar w:fldCharType="begin"/>
                          </w:r>
                          <w:r w:rsidRPr="00DB35FB">
                            <w:rPr>
                              <w:rFonts w:ascii="Arial" w:hAnsi="Arial" w:cs="Arial"/>
                              <w:sz w:val="18"/>
                            </w:rPr>
                            <w:instrText xml:space="preserve"> PAGE </w:instrText>
                          </w:r>
                          <w:r w:rsidRPr="00DB35FB">
                            <w:rPr>
                              <w:rFonts w:ascii="Arial" w:hAnsi="Arial" w:cs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</w:rPr>
                            <w:t>1</w:t>
                          </w:r>
                          <w:r w:rsidRPr="00DB35FB">
                            <w:rPr>
                              <w:rFonts w:ascii="Arial" w:hAnsi="Arial" w:cs="Arial"/>
                              <w:sz w:val="18"/>
                            </w:rPr>
                            <w:fldChar w:fldCharType="end"/>
                          </w:r>
                          <w:r w:rsidRPr="00DB35FB">
                            <w:rPr>
                              <w:rFonts w:ascii="Arial" w:hAnsi="Arial" w:cs="Arial"/>
                              <w:sz w:val="18"/>
                            </w:rPr>
                            <w:t xml:space="preserve"> o</w:t>
                          </w:r>
                          <w:r w:rsidRPr="00DB35F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 </w:t>
                          </w:r>
                          <w:r w:rsidR="00BC663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52E86F" id="Text Box 2" o:spid="_x0000_s1028" type="#_x0000_t202" style="position:absolute;margin-left:495.85pt;margin-top:732.2pt;width:49.8pt;height:11pt;z-index:-3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" filled="f" stroked="f">
              <v:textbox inset="0,0,0,0">
                <w:txbxContent>
                  <w:p w14:paraId="0552E873" w14:textId="553DB42A" w:rsidR="00AE70F9" w:rsidRPr="00DB35FB" w:rsidRDefault="00DB35FB">
                    <w:pPr>
                      <w:spacing w:before="15"/>
                      <w:ind w:left="20"/>
                      <w:rPr>
                        <w:rFonts w:ascii="Arial" w:hAnsi="Arial" w:cs="Arial"/>
                      </w:rPr>
                    </w:pPr>
                    <w:r w:rsidRPr="00DB35FB">
                      <w:rPr>
                        <w:rFonts w:ascii="Arial" w:hAnsi="Arial" w:cs="Arial"/>
                        <w:sz w:val="18"/>
                      </w:rPr>
                      <w:t xml:space="preserve">Page </w:t>
                    </w:r>
                    <w:r w:rsidRPr="00DB35FB">
                      <w:rPr>
                        <w:rFonts w:ascii="Arial" w:hAnsi="Arial" w:cs="Arial"/>
                        <w:sz w:val="18"/>
                      </w:rPr>
                      <w:fldChar w:fldCharType="begin"/>
                    </w:r>
                    <w:r w:rsidRPr="00DB35FB">
                      <w:rPr>
                        <w:rFonts w:ascii="Arial" w:hAnsi="Arial" w:cs="Arial"/>
                        <w:sz w:val="18"/>
                      </w:rPr>
                      <w:instrText xml:space="preserve"> PAGE </w:instrText>
                    </w:r>
                    <w:r w:rsidRPr="00DB35FB">
                      <w:rPr>
                        <w:rFonts w:ascii="Arial" w:hAnsi="Arial" w:cs="Arial"/>
                        <w:sz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</w:rPr>
                      <w:t>1</w:t>
                    </w:r>
                    <w:r w:rsidRPr="00DB35FB">
                      <w:rPr>
                        <w:rFonts w:ascii="Arial" w:hAnsi="Arial" w:cs="Arial"/>
                        <w:sz w:val="18"/>
                      </w:rPr>
                      <w:fldChar w:fldCharType="end"/>
                    </w:r>
                    <w:r w:rsidRPr="00DB35FB">
                      <w:rPr>
                        <w:rFonts w:ascii="Arial" w:hAnsi="Arial" w:cs="Arial"/>
                        <w:sz w:val="18"/>
                      </w:rPr>
                      <w:t xml:space="preserve"> o</w:t>
                    </w:r>
                    <w:r w:rsidRPr="00DB35F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 </w:t>
                    </w:r>
                    <w:r w:rsidR="00BC6634">
                      <w:rPr>
                        <w:rFonts w:ascii="Arial" w:hAnsi="Arial" w:cs="Arial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noProof/>
        <w:sz w:val="24"/>
      </w:rPr>
      <mc:AlternateContent>
        <mc:Choice Requires="wps">
          <w:drawing>
            <wp:anchor distT="0" distB="0" distL="114300" distR="114300" simplePos="0" relativeHeight="503313320" behindDoc="1" locked="0" layoutInCell="1" allowOverlap="1" wp14:anchorId="0552E86D" wp14:editId="47B1B250">
              <wp:simplePos x="0" y="0"/>
              <wp:positionH relativeFrom="page">
                <wp:posOffset>896620</wp:posOffset>
              </wp:positionH>
              <wp:positionV relativeFrom="page">
                <wp:posOffset>9175750</wp:posOffset>
              </wp:positionV>
              <wp:extent cx="5981065" cy="0"/>
              <wp:effectExtent l="10795" t="12700" r="8890" b="63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1065" cy="0"/>
                      </a:xfrm>
                      <a:prstGeom prst="line">
                        <a:avLst/>
                      </a:prstGeom>
                      <a:noFill/>
                      <a:ln w="60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6FA591" id="Line 4" o:spid="_x0000_s1026" style="position:absolute;z-index:-3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722.5pt" to="541.55pt,7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" strokeweight=".16936mm">
              <w10:wrap anchorx="page" anchory="page"/>
            </v:line>
          </w:pict>
        </mc:Fallback>
      </mc:AlternateContent>
    </w:r>
    <w:r>
      <w:rPr>
        <w:rFonts w:ascii="Arial" w:hAnsi="Arial" w:cs="Arial"/>
        <w:noProof/>
        <w:sz w:val="24"/>
      </w:rPr>
      <mc:AlternateContent>
        <mc:Choice Requires="wps">
          <w:drawing>
            <wp:anchor distT="0" distB="0" distL="114300" distR="114300" simplePos="0" relativeHeight="503313392" behindDoc="1" locked="0" layoutInCell="1" allowOverlap="1" wp14:anchorId="0552E870" wp14:editId="0B04417F">
              <wp:simplePos x="0" y="0"/>
              <wp:positionH relativeFrom="page">
                <wp:posOffset>3463925</wp:posOffset>
              </wp:positionH>
              <wp:positionV relativeFrom="page">
                <wp:posOffset>9298940</wp:posOffset>
              </wp:positionV>
              <wp:extent cx="847090" cy="153670"/>
              <wp:effectExtent l="0" t="254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52E874" w14:textId="1357066C" w:rsidR="00AE70F9" w:rsidRPr="00DB35FB" w:rsidRDefault="00DB35FB">
                          <w:pPr>
                            <w:spacing w:before="14"/>
                            <w:ind w:left="20"/>
                            <w:rPr>
                              <w:rFonts w:ascii="Arial"/>
                              <w:sz w:val="18"/>
                              <w:lang w:val="en-CA"/>
                            </w:rPr>
                          </w:pPr>
                          <w:r>
                            <w:rPr>
                              <w:rFonts w:ascii="Arial"/>
                              <w:sz w:val="18"/>
                              <w:lang w:val="en-CA"/>
                            </w:rPr>
                            <w:t>January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52E870" id="Text Box 1" o:spid="_x0000_s1029" type="#_x0000_t202" style="position:absolute;margin-left:272.75pt;margin-top:732.2pt;width:66.7pt;height:12.1pt;z-index:-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" filled="f" stroked="f">
              <v:textbox inset="0,0,0,0">
                <w:txbxContent>
                  <w:p w14:paraId="0552E874" w14:textId="1357066C" w:rsidR="00AE70F9" w:rsidRPr="00DB35FB" w:rsidRDefault="00DB35FB">
                    <w:pPr>
                      <w:spacing w:before="14"/>
                      <w:ind w:left="20"/>
                      <w:rPr>
                        <w:rFonts w:ascii="Arial"/>
                        <w:sz w:val="18"/>
                        <w:lang w:val="en-CA"/>
                      </w:rPr>
                    </w:pPr>
                    <w:r>
                      <w:rPr>
                        <w:rFonts w:ascii="Arial"/>
                        <w:sz w:val="18"/>
                        <w:lang w:val="en-CA"/>
                      </w:rPr>
                      <w:t>January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2E867" w14:textId="77777777" w:rsidR="00522EDE" w:rsidRDefault="00DB35FB">
      <w:r>
        <w:separator/>
      </w:r>
    </w:p>
  </w:footnote>
  <w:footnote w:type="continuationSeparator" w:id="0">
    <w:p w14:paraId="0552E869" w14:textId="77777777" w:rsidR="00522EDE" w:rsidRDefault="00DB3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2E865" w14:textId="047D301C" w:rsidR="00AE70F9" w:rsidRDefault="00FE55A9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296" behindDoc="1" locked="0" layoutInCell="1" allowOverlap="1" wp14:anchorId="0552E86C" wp14:editId="7927BCA6">
              <wp:simplePos x="0" y="0"/>
              <wp:positionH relativeFrom="page">
                <wp:posOffset>1097280</wp:posOffset>
              </wp:positionH>
              <wp:positionV relativeFrom="page">
                <wp:posOffset>483235</wp:posOffset>
              </wp:positionV>
              <wp:extent cx="1257300" cy="281305"/>
              <wp:effectExtent l="1905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52E871" w14:textId="77777777" w:rsidR="00AE70F9" w:rsidRDefault="00DB35FB">
                          <w:pPr>
                            <w:spacing w:before="8"/>
                            <w:ind w:left="20"/>
                            <w:rPr>
                              <w:rFonts w:ascii="Arial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6"/>
                            </w:rPr>
                            <w:t>References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52E86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6.4pt;margin-top:38.05pt;width:99pt;height:22.15pt;z-index:-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" filled="f" stroked="f">
              <v:textbox inset="0,0,0,0">
                <w:txbxContent>
                  <w:p w14:paraId="0552E871" w14:textId="77777777" w:rsidR="00AE70F9" w:rsidRDefault="00DB35FB">
                    <w:pPr>
                      <w:spacing w:before="8"/>
                      <w:ind w:left="20"/>
                      <w:rPr>
                        <w:rFonts w:ascii="Arial"/>
                        <w:b/>
                        <w:sz w:val="36"/>
                      </w:rPr>
                    </w:pPr>
                    <w:r>
                      <w:rPr>
                        <w:rFonts w:ascii="Arial"/>
                        <w:b/>
                        <w:sz w:val="36"/>
                      </w:rPr>
                      <w:t>References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33603"/>
    <w:multiLevelType w:val="hybridMultilevel"/>
    <w:tmpl w:val="80D27014"/>
    <w:lvl w:ilvl="0" w:tplc="4114E602">
      <w:start w:val="1"/>
      <w:numFmt w:val="decimal"/>
      <w:lvlText w:val="%1."/>
      <w:lvlJc w:val="left"/>
      <w:pPr>
        <w:ind w:left="428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94284F6C">
      <w:numFmt w:val="bullet"/>
      <w:lvlText w:val="•"/>
      <w:lvlJc w:val="left"/>
      <w:pPr>
        <w:ind w:left="1298" w:hanging="284"/>
      </w:pPr>
      <w:rPr>
        <w:rFonts w:hint="default"/>
        <w:lang w:val="en-US" w:eastAsia="en-US" w:bidi="en-US"/>
      </w:rPr>
    </w:lvl>
    <w:lvl w:ilvl="2" w:tplc="39480506">
      <w:numFmt w:val="bullet"/>
      <w:lvlText w:val="•"/>
      <w:lvlJc w:val="left"/>
      <w:pPr>
        <w:ind w:left="2176" w:hanging="284"/>
      </w:pPr>
      <w:rPr>
        <w:rFonts w:hint="default"/>
        <w:lang w:val="en-US" w:eastAsia="en-US" w:bidi="en-US"/>
      </w:rPr>
    </w:lvl>
    <w:lvl w:ilvl="3" w:tplc="FA68300E">
      <w:numFmt w:val="bullet"/>
      <w:lvlText w:val="•"/>
      <w:lvlJc w:val="left"/>
      <w:pPr>
        <w:ind w:left="3054" w:hanging="284"/>
      </w:pPr>
      <w:rPr>
        <w:rFonts w:hint="default"/>
        <w:lang w:val="en-US" w:eastAsia="en-US" w:bidi="en-US"/>
      </w:rPr>
    </w:lvl>
    <w:lvl w:ilvl="4" w:tplc="D478B08E">
      <w:numFmt w:val="bullet"/>
      <w:lvlText w:val="•"/>
      <w:lvlJc w:val="left"/>
      <w:pPr>
        <w:ind w:left="3932" w:hanging="284"/>
      </w:pPr>
      <w:rPr>
        <w:rFonts w:hint="default"/>
        <w:lang w:val="en-US" w:eastAsia="en-US" w:bidi="en-US"/>
      </w:rPr>
    </w:lvl>
    <w:lvl w:ilvl="5" w:tplc="CCA43A06">
      <w:numFmt w:val="bullet"/>
      <w:lvlText w:val="•"/>
      <w:lvlJc w:val="left"/>
      <w:pPr>
        <w:ind w:left="4810" w:hanging="284"/>
      </w:pPr>
      <w:rPr>
        <w:rFonts w:hint="default"/>
        <w:lang w:val="en-US" w:eastAsia="en-US" w:bidi="en-US"/>
      </w:rPr>
    </w:lvl>
    <w:lvl w:ilvl="6" w:tplc="656428AE">
      <w:numFmt w:val="bullet"/>
      <w:lvlText w:val="•"/>
      <w:lvlJc w:val="left"/>
      <w:pPr>
        <w:ind w:left="5688" w:hanging="284"/>
      </w:pPr>
      <w:rPr>
        <w:rFonts w:hint="default"/>
        <w:lang w:val="en-US" w:eastAsia="en-US" w:bidi="en-US"/>
      </w:rPr>
    </w:lvl>
    <w:lvl w:ilvl="7" w:tplc="EEC49970">
      <w:numFmt w:val="bullet"/>
      <w:lvlText w:val="•"/>
      <w:lvlJc w:val="left"/>
      <w:pPr>
        <w:ind w:left="6566" w:hanging="284"/>
      </w:pPr>
      <w:rPr>
        <w:rFonts w:hint="default"/>
        <w:lang w:val="en-US" w:eastAsia="en-US" w:bidi="en-US"/>
      </w:rPr>
    </w:lvl>
    <w:lvl w:ilvl="8" w:tplc="C6A8B5AE">
      <w:numFmt w:val="bullet"/>
      <w:lvlText w:val="•"/>
      <w:lvlJc w:val="left"/>
      <w:pPr>
        <w:ind w:left="7444" w:hanging="28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F9"/>
    <w:rsid w:val="001A5A7D"/>
    <w:rsid w:val="00522EDE"/>
    <w:rsid w:val="00AE70F9"/>
    <w:rsid w:val="00BC6634"/>
    <w:rsid w:val="00DB35FB"/>
    <w:rsid w:val="00E961DA"/>
    <w:rsid w:val="00FE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52E83F"/>
  <w15:docId w15:val="{35E553EE-B68D-45C3-A802-5178986E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428" w:hanging="284"/>
    </w:pPr>
  </w:style>
  <w:style w:type="paragraph" w:styleId="ListParagraph">
    <w:name w:val="List Paragraph"/>
    <w:basedOn w:val="Normal"/>
    <w:uiPriority w:val="1"/>
    <w:qFormat/>
    <w:pPr>
      <w:spacing w:before="72"/>
      <w:ind w:left="428" w:hanging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B35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5FB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B35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5FB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3574</Characters>
  <Application>Microsoft Office Word</Application>
  <DocSecurity>0</DocSecurity>
  <Lines>29</Lines>
  <Paragraphs>8</Paragraphs>
  <ScaleCrop>false</ScaleCrop>
  <Company>University of Toronto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Bell</dc:creator>
  <cp:lastModifiedBy>Rachel Zand</cp:lastModifiedBy>
  <cp:revision>2</cp:revision>
  <dcterms:created xsi:type="dcterms:W3CDTF">2021-04-03T19:01:00Z</dcterms:created>
  <dcterms:modified xsi:type="dcterms:W3CDTF">2021-04-03T19:01:00Z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2021-04-03T00:00:00Z</vt:filetime>
  </property>
</Properties>
</file>